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F7580" w14:textId="1D0B96B5" w:rsidR="00C56EAB" w:rsidRPr="00C56EAB" w:rsidRDefault="00211677" w:rsidP="00B51C19">
      <w:pPr>
        <w:rPr>
          <w:rFonts w:ascii="Times-Bold" w:hAnsi="Times-Bold"/>
          <w:b/>
          <w:color w:val="231F20"/>
          <w:sz w:val="28"/>
          <w:szCs w:val="28"/>
        </w:rPr>
      </w:pPr>
      <w:r>
        <w:rPr>
          <w:rFonts w:ascii="Times-Bold" w:hAnsi="Times-Bold"/>
          <w:b/>
          <w:color w:val="231F20"/>
          <w:sz w:val="28"/>
          <w:szCs w:val="28"/>
        </w:rPr>
        <w:t>Emergency Hospital Admissions i</w:t>
      </w:r>
      <w:r w:rsidR="00C56EAB" w:rsidRPr="00C56EAB">
        <w:rPr>
          <w:rFonts w:ascii="Times-Bold" w:hAnsi="Times-Bold"/>
          <w:b/>
          <w:color w:val="231F20"/>
          <w:sz w:val="28"/>
          <w:szCs w:val="28"/>
        </w:rPr>
        <w:t xml:space="preserve">n Older Adults </w:t>
      </w:r>
      <w:r w:rsidR="00E64726">
        <w:rPr>
          <w:rFonts w:ascii="Times-Bold" w:hAnsi="Times-Bold"/>
          <w:b/>
          <w:color w:val="231F20"/>
          <w:sz w:val="28"/>
          <w:szCs w:val="28"/>
        </w:rPr>
        <w:t>f</w:t>
      </w:r>
      <w:bookmarkStart w:id="0" w:name="_GoBack"/>
      <w:bookmarkEnd w:id="0"/>
      <w:r>
        <w:rPr>
          <w:rFonts w:ascii="Times-Bold" w:hAnsi="Times-Bold"/>
          <w:b/>
          <w:color w:val="231F20"/>
          <w:sz w:val="28"/>
          <w:szCs w:val="28"/>
        </w:rPr>
        <w:t>rom Residential a</w:t>
      </w:r>
      <w:r w:rsidR="00C56EAB" w:rsidRPr="00C56EAB">
        <w:rPr>
          <w:rFonts w:ascii="Times-Bold" w:hAnsi="Times-Bold"/>
          <w:b/>
          <w:color w:val="231F20"/>
          <w:sz w:val="28"/>
          <w:szCs w:val="28"/>
        </w:rPr>
        <w:t xml:space="preserve">nd Nursing Homes: </w:t>
      </w:r>
      <w:r>
        <w:rPr>
          <w:rFonts w:ascii="Times-Bold" w:hAnsi="Times-Bold"/>
          <w:b/>
          <w:color w:val="231F20"/>
          <w:sz w:val="28"/>
          <w:szCs w:val="28"/>
        </w:rPr>
        <w:t>Frequency, Characteristics a</w:t>
      </w:r>
      <w:r w:rsidR="00C56EAB" w:rsidRPr="00C56EAB">
        <w:rPr>
          <w:rFonts w:ascii="Times-Bold" w:hAnsi="Times-Bold"/>
          <w:b/>
          <w:color w:val="231F20"/>
          <w:sz w:val="28"/>
          <w:szCs w:val="28"/>
        </w:rPr>
        <w:t>nd Outcomes</w:t>
      </w:r>
    </w:p>
    <w:p w14:paraId="057CEE69" w14:textId="77777777" w:rsidR="00C56EAB" w:rsidRDefault="00C56EAB" w:rsidP="00B51C19">
      <w:pPr>
        <w:rPr>
          <w:rFonts w:ascii="Arial" w:hAnsi="Arial" w:cs="Arial"/>
          <w:b/>
        </w:rPr>
      </w:pPr>
    </w:p>
    <w:p w14:paraId="1FBC4F81" w14:textId="6D7B69DE" w:rsidR="00B51C19" w:rsidRPr="00E2242D" w:rsidRDefault="00B51C19" w:rsidP="00B51C19">
      <w:pPr>
        <w:rPr>
          <w:rFonts w:ascii="Arial" w:hAnsi="Arial" w:cs="Arial"/>
          <w:b/>
        </w:rPr>
      </w:pPr>
      <w:r w:rsidRPr="00E2242D">
        <w:rPr>
          <w:rFonts w:ascii="Arial" w:hAnsi="Arial" w:cs="Arial"/>
          <w:b/>
        </w:rPr>
        <w:t>Appendix 1</w:t>
      </w:r>
      <w:r>
        <w:rPr>
          <w:rFonts w:ascii="Arial" w:hAnsi="Arial" w:cs="Arial"/>
          <w:b/>
        </w:rPr>
        <w:t>: Supplementary Information for the Methods</w:t>
      </w:r>
    </w:p>
    <w:p w14:paraId="1642C755" w14:textId="77777777" w:rsidR="00B51C19" w:rsidRDefault="00B51C19" w:rsidP="00B51C19">
      <w:pPr>
        <w:rPr>
          <w:rFonts w:ascii="Arial" w:hAnsi="Arial" w:cs="Arial"/>
        </w:rPr>
      </w:pPr>
      <w:r>
        <w:rPr>
          <w:rFonts w:ascii="Arial" w:hAnsi="Arial" w:cs="Arial"/>
        </w:rPr>
        <w:t xml:space="preserve">The following information supplements the methodology detailed in the published short report. </w:t>
      </w:r>
    </w:p>
    <w:p w14:paraId="1AE5B596" w14:textId="77777777" w:rsidR="00B51C19" w:rsidRDefault="00B51C19" w:rsidP="00B51C19">
      <w:pPr>
        <w:rPr>
          <w:rFonts w:ascii="Arial" w:hAnsi="Arial" w:cs="Arial"/>
        </w:rPr>
      </w:pPr>
      <w:r>
        <w:rPr>
          <w:rFonts w:ascii="Arial" w:hAnsi="Arial" w:cs="Arial"/>
        </w:rPr>
        <w:t>Patient Characteristics</w:t>
      </w:r>
    </w:p>
    <w:p w14:paraId="79740DAF" w14:textId="77777777" w:rsidR="00B51C19" w:rsidRPr="00E2242D" w:rsidRDefault="00B51C19" w:rsidP="00B51C19">
      <w:pPr>
        <w:rPr>
          <w:rFonts w:ascii="Arial" w:hAnsi="Arial" w:cs="Arial"/>
        </w:rPr>
      </w:pPr>
      <w:r>
        <w:rPr>
          <w:rFonts w:ascii="Arial" w:hAnsi="Arial" w:cs="Arial"/>
        </w:rPr>
        <w:t xml:space="preserve">We retrieved all </w:t>
      </w:r>
      <w:r w:rsidRPr="00E2242D">
        <w:rPr>
          <w:rFonts w:ascii="Arial" w:hAnsi="Arial" w:cs="Arial"/>
        </w:rPr>
        <w:t>emergency admission episodes in older adults</w:t>
      </w:r>
      <w:r>
        <w:rPr>
          <w:rFonts w:ascii="Arial" w:hAnsi="Arial" w:cs="Arial"/>
        </w:rPr>
        <w:t xml:space="preserve"> (</w:t>
      </w:r>
      <w:r w:rsidRPr="00E2242D">
        <w:rPr>
          <w:rFonts w:ascii="Arial" w:hAnsi="Arial" w:cs="Arial"/>
          <w:u w:val="single"/>
        </w:rPr>
        <w:t>&gt;</w:t>
      </w:r>
      <w:r>
        <w:rPr>
          <w:rFonts w:ascii="Arial" w:hAnsi="Arial" w:cs="Arial"/>
        </w:rPr>
        <w:t>75 years)</w:t>
      </w:r>
      <w:r w:rsidRPr="00E2242D">
        <w:rPr>
          <w:rFonts w:ascii="Arial" w:hAnsi="Arial" w:cs="Arial"/>
        </w:rPr>
        <w:t xml:space="preserve"> </w:t>
      </w:r>
      <w:r>
        <w:rPr>
          <w:rFonts w:ascii="Arial" w:hAnsi="Arial" w:cs="Arial"/>
        </w:rPr>
        <w:t xml:space="preserve">presenting to our hospital </w:t>
      </w:r>
      <w:r w:rsidRPr="00E2242D">
        <w:rPr>
          <w:rFonts w:ascii="Arial" w:hAnsi="Arial" w:cs="Arial"/>
        </w:rPr>
        <w:t>between 1</w:t>
      </w:r>
      <w:r w:rsidRPr="00E2242D">
        <w:rPr>
          <w:rFonts w:ascii="Arial" w:hAnsi="Arial" w:cs="Arial"/>
          <w:vertAlign w:val="superscript"/>
        </w:rPr>
        <w:t>st</w:t>
      </w:r>
      <w:r w:rsidRPr="00E2242D">
        <w:rPr>
          <w:rFonts w:ascii="Arial" w:hAnsi="Arial" w:cs="Arial"/>
        </w:rPr>
        <w:t xml:space="preserve"> October 2014 and 26</w:t>
      </w:r>
      <w:r w:rsidRPr="00E2242D">
        <w:rPr>
          <w:rFonts w:ascii="Arial" w:hAnsi="Arial" w:cs="Arial"/>
          <w:vertAlign w:val="superscript"/>
        </w:rPr>
        <w:t>th</w:t>
      </w:r>
      <w:r w:rsidRPr="00E2242D">
        <w:rPr>
          <w:rFonts w:ascii="Arial" w:hAnsi="Arial" w:cs="Arial"/>
        </w:rPr>
        <w:t xml:space="preserve"> November 2016.</w:t>
      </w:r>
      <w:r>
        <w:rPr>
          <w:rFonts w:ascii="Arial" w:hAnsi="Arial" w:cs="Arial"/>
        </w:rPr>
        <w:t xml:space="preserve"> Patient characteristics and clinical outcomes were available for large </w:t>
      </w:r>
      <w:r w:rsidRPr="001A0BDA">
        <w:rPr>
          <w:rFonts w:ascii="Arial" w:hAnsi="Arial" w:cs="Arial"/>
        </w:rPr>
        <w:t>scale retrospective analysis due to the introduction of an electronic medical record system, Epic Corporation System</w:t>
      </w:r>
      <w:r>
        <w:rPr>
          <w:rFonts w:ascii="Arial" w:hAnsi="Arial" w:cs="Arial"/>
        </w:rPr>
        <w:t>.</w:t>
      </w:r>
    </w:p>
    <w:p w14:paraId="743DFCBD" w14:textId="77777777" w:rsidR="00B51C19" w:rsidRPr="00E2242D" w:rsidRDefault="00B51C19" w:rsidP="00B51C19">
      <w:pPr>
        <w:rPr>
          <w:rFonts w:ascii="Arial" w:hAnsi="Arial" w:cs="Arial"/>
        </w:rPr>
      </w:pPr>
      <w:r>
        <w:rPr>
          <w:rFonts w:ascii="Arial" w:hAnsi="Arial" w:cs="Arial"/>
        </w:rPr>
        <w:t xml:space="preserve">We were able to retrieve information on clinical frailty and cognitive status since our </w:t>
      </w:r>
      <w:proofErr w:type="spellStart"/>
      <w:r>
        <w:rPr>
          <w:rFonts w:ascii="Arial" w:hAnsi="Arial" w:cs="Arial"/>
        </w:rPr>
        <w:t>centre</w:t>
      </w:r>
      <w:proofErr w:type="spellEnd"/>
      <w:r>
        <w:rPr>
          <w:rFonts w:ascii="Arial" w:hAnsi="Arial" w:cs="Arial"/>
        </w:rPr>
        <w:t xml:space="preserve"> routinely assesses these factors </w:t>
      </w:r>
      <w:r w:rsidRPr="00E2242D">
        <w:rPr>
          <w:rFonts w:ascii="Arial" w:hAnsi="Arial" w:cs="Arial"/>
        </w:rPr>
        <w:t>in all older adults (</w:t>
      </w:r>
      <w:r w:rsidRPr="00E2242D">
        <w:rPr>
          <w:rFonts w:ascii="Arial" w:hAnsi="Arial" w:cs="Arial"/>
          <w:u w:val="single"/>
        </w:rPr>
        <w:t>&gt;</w:t>
      </w:r>
      <w:r w:rsidRPr="00E2242D">
        <w:rPr>
          <w:rFonts w:ascii="Arial" w:hAnsi="Arial" w:cs="Arial"/>
        </w:rPr>
        <w:t>75 years) who present as an emergency</w:t>
      </w:r>
      <w:r>
        <w:rPr>
          <w:rFonts w:ascii="Arial" w:hAnsi="Arial" w:cs="Arial"/>
        </w:rPr>
        <w:t xml:space="preserve">. </w:t>
      </w:r>
      <w:r w:rsidRPr="00E2242D">
        <w:rPr>
          <w:rFonts w:ascii="Arial" w:hAnsi="Arial" w:cs="Arial"/>
        </w:rPr>
        <w:t xml:space="preserve">This is carried out within 72 hours of admission by the Specialist Advice for the Frail Elderly team who operate at </w:t>
      </w:r>
      <w:r>
        <w:rPr>
          <w:rFonts w:ascii="Arial" w:hAnsi="Arial" w:cs="Arial"/>
        </w:rPr>
        <w:t xml:space="preserve">the front door of the hospital. Frailty is measured using the </w:t>
      </w:r>
      <w:r w:rsidRPr="00E2242D">
        <w:rPr>
          <w:rFonts w:ascii="Arial" w:hAnsi="Arial" w:cs="Arial"/>
        </w:rPr>
        <w:t>Clinical Frailty Scale (permission granted for clinical use by the principal investigator at Dalhousie University, Halifax, Canada)</w:t>
      </w:r>
      <w:r>
        <w:rPr>
          <w:rFonts w:ascii="Arial" w:hAnsi="Arial" w:cs="Arial"/>
        </w:rPr>
        <w:t xml:space="preserve"> </w:t>
      </w:r>
      <w:r w:rsidRPr="001A0BDA">
        <w:rPr>
          <w:rFonts w:ascii="Arial" w:hAnsi="Arial" w:cs="Arial"/>
        </w:rPr>
        <w:t xml:space="preserve">and patients score between 1 (robust) and 8 (very severely frail) with a separate category for those deemed terminally ill but not otherwise frail (category 9). </w:t>
      </w:r>
      <w:r>
        <w:rPr>
          <w:rFonts w:ascii="Arial" w:hAnsi="Arial" w:cs="Arial"/>
        </w:rPr>
        <w:t>C</w:t>
      </w:r>
      <w:r w:rsidRPr="001A0BDA">
        <w:rPr>
          <w:rFonts w:ascii="Arial" w:hAnsi="Arial" w:cs="Arial"/>
        </w:rPr>
        <w:t xml:space="preserve">ognition </w:t>
      </w:r>
      <w:r>
        <w:rPr>
          <w:rFonts w:ascii="Arial" w:hAnsi="Arial" w:cs="Arial"/>
        </w:rPr>
        <w:t xml:space="preserve">is assessed </w:t>
      </w:r>
      <w:r w:rsidRPr="001A0BDA">
        <w:rPr>
          <w:rFonts w:ascii="Arial" w:hAnsi="Arial" w:cs="Arial"/>
        </w:rPr>
        <w:t xml:space="preserve">using two screening questions: ‘Is there a history of dementia?’ (yes, </w:t>
      </w:r>
      <w:r w:rsidRPr="00E2242D">
        <w:rPr>
          <w:rFonts w:ascii="Arial" w:hAnsi="Arial" w:cs="Arial"/>
        </w:rPr>
        <w:t xml:space="preserve">no) and ‘is there current evidence of acute confusion?’ (yes, no). If either of these were recorded as ‘yes’ then the patient was deemed to have a ‘history of dementia or cognitive concern’. </w:t>
      </w:r>
    </w:p>
    <w:p w14:paraId="0915DCC5" w14:textId="77777777" w:rsidR="00B51C19" w:rsidRPr="00E2242D" w:rsidRDefault="00B51C19" w:rsidP="00B51C19">
      <w:pPr>
        <w:rPr>
          <w:rFonts w:ascii="Arial" w:hAnsi="Arial" w:cs="Arial"/>
        </w:rPr>
      </w:pPr>
      <w:r w:rsidRPr="00E2242D">
        <w:rPr>
          <w:rFonts w:ascii="Arial" w:hAnsi="Arial" w:cs="Arial"/>
        </w:rPr>
        <w:t>Illness acuity in the Emergency Department (ED) is recorded using the ED-Modified Early Warning Score. This score</w:t>
      </w:r>
      <w:r>
        <w:rPr>
          <w:rFonts w:ascii="Arial" w:hAnsi="Arial" w:cs="Arial"/>
        </w:rPr>
        <w:t xml:space="preserve"> ranges from 0–15 and quantifies</w:t>
      </w:r>
      <w:r w:rsidRPr="00E2242D">
        <w:rPr>
          <w:rFonts w:ascii="Arial" w:hAnsi="Arial" w:cs="Arial"/>
        </w:rPr>
        <w:t xml:space="preserve"> the deviation of bedside vital signs from the normal range (see Table 1 below). Higher scores indicate higher illness severity, with a score of ≥4 triggering an immediate clinical review in our hospital.</w:t>
      </w:r>
      <w:r>
        <w:rPr>
          <w:rFonts w:ascii="Arial" w:hAnsi="Arial" w:cs="Arial"/>
        </w:rPr>
        <w:t xml:space="preserve"> The laboratory values retrieved for this study included the following ED point of care blood tests: </w:t>
      </w:r>
      <w:r w:rsidRPr="00E2242D">
        <w:rPr>
          <w:rFonts w:ascii="Arial" w:hAnsi="Arial" w:cs="Arial"/>
        </w:rPr>
        <w:t xml:space="preserve">C-reactive protein </w:t>
      </w:r>
      <w:r>
        <w:rPr>
          <w:rFonts w:ascii="Arial" w:hAnsi="Arial" w:cs="Arial"/>
        </w:rPr>
        <w:t>(</w:t>
      </w:r>
      <w:proofErr w:type="spellStart"/>
      <w:r>
        <w:rPr>
          <w:rFonts w:ascii="Arial" w:hAnsi="Arial" w:cs="Arial"/>
        </w:rPr>
        <w:t>CRP</w:t>
      </w:r>
      <w:proofErr w:type="gramStart"/>
      <w:r>
        <w:rPr>
          <w:rFonts w:ascii="Arial" w:hAnsi="Arial" w:cs="Arial"/>
        </w:rPr>
        <w:t>;mg</w:t>
      </w:r>
      <w:proofErr w:type="spellEnd"/>
      <w:proofErr w:type="gramEnd"/>
      <w:r>
        <w:rPr>
          <w:rFonts w:ascii="Arial" w:hAnsi="Arial" w:cs="Arial"/>
        </w:rPr>
        <w:t>/L), white cell count (</w:t>
      </w:r>
      <w:r w:rsidRPr="00E2242D">
        <w:rPr>
          <w:rFonts w:ascii="Arial" w:hAnsi="Arial" w:cs="Arial"/>
        </w:rPr>
        <w:t>WCC; 10</w:t>
      </w:r>
      <w:r w:rsidRPr="00E2242D">
        <w:rPr>
          <w:rFonts w:ascii="Arial" w:hAnsi="Arial" w:cs="Arial"/>
          <w:vertAlign w:val="superscript"/>
        </w:rPr>
        <w:t>9</w:t>
      </w:r>
      <w:r w:rsidRPr="00E2242D">
        <w:rPr>
          <w:rFonts w:ascii="Arial" w:hAnsi="Arial" w:cs="Arial"/>
        </w:rPr>
        <w:t>/L]</w:t>
      </w:r>
      <w:r>
        <w:rPr>
          <w:rFonts w:ascii="Arial" w:hAnsi="Arial" w:cs="Arial"/>
        </w:rPr>
        <w:t>)</w:t>
      </w:r>
      <w:r w:rsidRPr="00E2242D">
        <w:rPr>
          <w:rFonts w:ascii="Arial" w:hAnsi="Arial" w:cs="Arial"/>
        </w:rPr>
        <w:t xml:space="preserve"> ur</w:t>
      </w:r>
      <w:r>
        <w:rPr>
          <w:rFonts w:ascii="Arial" w:hAnsi="Arial" w:cs="Arial"/>
        </w:rPr>
        <w:t>ea (</w:t>
      </w:r>
      <w:proofErr w:type="spellStart"/>
      <w:r>
        <w:rPr>
          <w:rFonts w:ascii="Arial" w:hAnsi="Arial" w:cs="Arial"/>
        </w:rPr>
        <w:t>mmol</w:t>
      </w:r>
      <w:proofErr w:type="spellEnd"/>
      <w:r>
        <w:rPr>
          <w:rFonts w:ascii="Arial" w:hAnsi="Arial" w:cs="Arial"/>
        </w:rPr>
        <w:t>/L), creatinine (µ</w:t>
      </w:r>
      <w:proofErr w:type="spellStart"/>
      <w:r>
        <w:rPr>
          <w:rFonts w:ascii="Arial" w:hAnsi="Arial" w:cs="Arial"/>
        </w:rPr>
        <w:t>mol</w:t>
      </w:r>
      <w:proofErr w:type="spellEnd"/>
      <w:r>
        <w:rPr>
          <w:rFonts w:ascii="Arial" w:hAnsi="Arial" w:cs="Arial"/>
        </w:rPr>
        <w:t>/l)</w:t>
      </w:r>
      <w:r w:rsidRPr="00E2242D">
        <w:rPr>
          <w:rFonts w:ascii="Arial" w:hAnsi="Arial" w:cs="Arial"/>
        </w:rPr>
        <w:t xml:space="preserve">, </w:t>
      </w:r>
      <w:r>
        <w:rPr>
          <w:rFonts w:ascii="Arial" w:hAnsi="Arial" w:cs="Arial"/>
        </w:rPr>
        <w:t xml:space="preserve">and </w:t>
      </w:r>
      <w:proofErr w:type="spellStart"/>
      <w:r>
        <w:rPr>
          <w:rFonts w:ascii="Arial" w:hAnsi="Arial" w:cs="Arial"/>
        </w:rPr>
        <w:t>haematocrit</w:t>
      </w:r>
      <w:proofErr w:type="spellEnd"/>
      <w:r>
        <w:rPr>
          <w:rFonts w:ascii="Arial" w:hAnsi="Arial" w:cs="Arial"/>
        </w:rPr>
        <w:t xml:space="preserve"> (%). Although we did not have information on admission diagnoses, </w:t>
      </w:r>
      <w:r w:rsidRPr="00E2242D">
        <w:rPr>
          <w:rFonts w:ascii="Arial" w:hAnsi="Arial" w:cs="Arial"/>
        </w:rPr>
        <w:t>all discharge diagnoses were coded using the tenth version of the World Health Organization International Classification of Diseases and</w:t>
      </w:r>
      <w:r>
        <w:rPr>
          <w:rFonts w:ascii="Arial" w:hAnsi="Arial" w:cs="Arial"/>
        </w:rPr>
        <w:t xml:space="preserve"> this was used to retrospectively calculate the </w:t>
      </w:r>
      <w:proofErr w:type="spellStart"/>
      <w:r>
        <w:rPr>
          <w:rFonts w:ascii="Arial" w:hAnsi="Arial" w:cs="Arial"/>
        </w:rPr>
        <w:t>Charlson</w:t>
      </w:r>
      <w:proofErr w:type="spellEnd"/>
      <w:r>
        <w:rPr>
          <w:rFonts w:ascii="Arial" w:hAnsi="Arial" w:cs="Arial"/>
        </w:rPr>
        <w:t xml:space="preserve"> Co-morbidity Index for each patient. </w:t>
      </w:r>
    </w:p>
    <w:p w14:paraId="24D2D969" w14:textId="77777777" w:rsidR="00C56EAB" w:rsidRDefault="00C56EAB" w:rsidP="00B51C19">
      <w:pPr>
        <w:rPr>
          <w:rFonts w:ascii="Arial" w:hAnsi="Arial" w:cs="Arial"/>
          <w:b/>
          <w:sz w:val="20"/>
          <w:szCs w:val="20"/>
        </w:rPr>
      </w:pPr>
    </w:p>
    <w:p w14:paraId="47EB4B83" w14:textId="77777777" w:rsidR="00C56EAB" w:rsidRDefault="00C56EAB" w:rsidP="00B51C19">
      <w:pPr>
        <w:rPr>
          <w:rFonts w:ascii="Arial" w:hAnsi="Arial" w:cs="Arial"/>
          <w:b/>
          <w:sz w:val="20"/>
          <w:szCs w:val="20"/>
        </w:rPr>
      </w:pPr>
    </w:p>
    <w:p w14:paraId="28BCCD8A" w14:textId="77777777" w:rsidR="00C56EAB" w:rsidRDefault="00C56EAB" w:rsidP="00B51C19">
      <w:pPr>
        <w:rPr>
          <w:rFonts w:ascii="Arial" w:hAnsi="Arial" w:cs="Arial"/>
          <w:b/>
          <w:sz w:val="20"/>
          <w:szCs w:val="20"/>
        </w:rPr>
      </w:pPr>
    </w:p>
    <w:p w14:paraId="6E25DEA7" w14:textId="77777777" w:rsidR="00C56EAB" w:rsidRDefault="00C56EAB" w:rsidP="00B51C19">
      <w:pPr>
        <w:rPr>
          <w:rFonts w:ascii="Arial" w:hAnsi="Arial" w:cs="Arial"/>
          <w:b/>
          <w:sz w:val="20"/>
          <w:szCs w:val="20"/>
        </w:rPr>
      </w:pPr>
    </w:p>
    <w:p w14:paraId="3DDB9D5C" w14:textId="77777777" w:rsidR="00C56EAB" w:rsidRDefault="00C56EAB" w:rsidP="00B51C19">
      <w:pPr>
        <w:rPr>
          <w:rFonts w:ascii="Arial" w:hAnsi="Arial" w:cs="Arial"/>
          <w:b/>
          <w:sz w:val="20"/>
          <w:szCs w:val="20"/>
        </w:rPr>
      </w:pPr>
    </w:p>
    <w:p w14:paraId="2D30B375" w14:textId="77777777" w:rsidR="00C56EAB" w:rsidRDefault="00C56EAB" w:rsidP="00B51C19">
      <w:pPr>
        <w:rPr>
          <w:rFonts w:ascii="Arial" w:hAnsi="Arial" w:cs="Arial"/>
          <w:b/>
          <w:sz w:val="20"/>
          <w:szCs w:val="20"/>
        </w:rPr>
      </w:pPr>
    </w:p>
    <w:p w14:paraId="40614B99" w14:textId="77777777" w:rsidR="00C56EAB" w:rsidRDefault="00C56EAB" w:rsidP="00B51C19">
      <w:pPr>
        <w:rPr>
          <w:rFonts w:ascii="Arial" w:hAnsi="Arial" w:cs="Arial"/>
          <w:b/>
          <w:sz w:val="20"/>
          <w:szCs w:val="20"/>
        </w:rPr>
      </w:pPr>
    </w:p>
    <w:p w14:paraId="6F9DF9FB" w14:textId="77777777" w:rsidR="00C56EAB" w:rsidRDefault="00C56EAB" w:rsidP="00B51C19">
      <w:pPr>
        <w:rPr>
          <w:rFonts w:ascii="Arial" w:hAnsi="Arial" w:cs="Arial"/>
          <w:b/>
          <w:sz w:val="20"/>
          <w:szCs w:val="20"/>
        </w:rPr>
      </w:pPr>
    </w:p>
    <w:p w14:paraId="26C319A8" w14:textId="3030BA95" w:rsidR="00B51C19" w:rsidRPr="003374A2" w:rsidRDefault="003374A2" w:rsidP="00B51C19">
      <w:pPr>
        <w:rPr>
          <w:rFonts w:ascii="Arial" w:hAnsi="Arial" w:cs="Arial"/>
          <w:b/>
          <w:sz w:val="20"/>
          <w:szCs w:val="20"/>
        </w:rPr>
      </w:pPr>
      <w:r w:rsidRPr="003374A2">
        <w:rPr>
          <w:rFonts w:ascii="Arial" w:hAnsi="Arial" w:cs="Arial"/>
          <w:b/>
          <w:sz w:val="20"/>
          <w:szCs w:val="20"/>
        </w:rPr>
        <w:lastRenderedPageBreak/>
        <w:t xml:space="preserve">Supplementary </w:t>
      </w:r>
      <w:r w:rsidR="00B51C19" w:rsidRPr="003374A2">
        <w:rPr>
          <w:rFonts w:ascii="Arial" w:hAnsi="Arial" w:cs="Arial"/>
          <w:b/>
          <w:sz w:val="20"/>
          <w:szCs w:val="20"/>
        </w:rPr>
        <w:t>Table 1: The Emergency Department Modified Early Warning Score</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B51C19" w:rsidRPr="00E2242D" w14:paraId="019D8ADD" w14:textId="77777777" w:rsidTr="00021545">
        <w:tc>
          <w:tcPr>
            <w:tcW w:w="1127" w:type="dxa"/>
          </w:tcPr>
          <w:p w14:paraId="25BBFC54" w14:textId="77777777" w:rsidR="00B51C19" w:rsidRPr="00E2242D" w:rsidRDefault="00B51C19" w:rsidP="00021545">
            <w:pPr>
              <w:rPr>
                <w:rFonts w:ascii="Arial" w:hAnsi="Arial" w:cs="Arial"/>
                <w:b/>
                <w:sz w:val="20"/>
                <w:szCs w:val="20"/>
              </w:rPr>
            </w:pPr>
          </w:p>
        </w:tc>
        <w:tc>
          <w:tcPr>
            <w:tcW w:w="1127" w:type="dxa"/>
            <w:vAlign w:val="center"/>
          </w:tcPr>
          <w:p w14:paraId="37CBE221"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3</w:t>
            </w:r>
          </w:p>
        </w:tc>
        <w:tc>
          <w:tcPr>
            <w:tcW w:w="1127" w:type="dxa"/>
            <w:vAlign w:val="center"/>
          </w:tcPr>
          <w:p w14:paraId="23AEEDFF"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2</w:t>
            </w:r>
          </w:p>
        </w:tc>
        <w:tc>
          <w:tcPr>
            <w:tcW w:w="1127" w:type="dxa"/>
            <w:vAlign w:val="center"/>
          </w:tcPr>
          <w:p w14:paraId="08ED1998"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1</w:t>
            </w:r>
          </w:p>
        </w:tc>
        <w:tc>
          <w:tcPr>
            <w:tcW w:w="1127" w:type="dxa"/>
            <w:vAlign w:val="center"/>
          </w:tcPr>
          <w:p w14:paraId="0AFB9A6A"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0</w:t>
            </w:r>
          </w:p>
        </w:tc>
        <w:tc>
          <w:tcPr>
            <w:tcW w:w="1127" w:type="dxa"/>
            <w:vAlign w:val="center"/>
          </w:tcPr>
          <w:p w14:paraId="715F7ED7"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1</w:t>
            </w:r>
          </w:p>
        </w:tc>
        <w:tc>
          <w:tcPr>
            <w:tcW w:w="1127" w:type="dxa"/>
            <w:vAlign w:val="center"/>
          </w:tcPr>
          <w:p w14:paraId="7791EFFE"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2</w:t>
            </w:r>
          </w:p>
        </w:tc>
        <w:tc>
          <w:tcPr>
            <w:tcW w:w="1127" w:type="dxa"/>
            <w:vAlign w:val="center"/>
          </w:tcPr>
          <w:p w14:paraId="34B0E713" w14:textId="77777777" w:rsidR="00B51C19" w:rsidRPr="00E2242D" w:rsidRDefault="00B51C19" w:rsidP="00021545">
            <w:pPr>
              <w:jc w:val="center"/>
              <w:rPr>
                <w:rFonts w:ascii="Arial" w:hAnsi="Arial" w:cs="Arial"/>
                <w:b/>
                <w:sz w:val="20"/>
                <w:szCs w:val="20"/>
              </w:rPr>
            </w:pPr>
            <w:r w:rsidRPr="00E2242D">
              <w:rPr>
                <w:rFonts w:ascii="Arial" w:hAnsi="Arial" w:cs="Arial"/>
                <w:b/>
                <w:sz w:val="20"/>
                <w:szCs w:val="20"/>
              </w:rPr>
              <w:t>3</w:t>
            </w:r>
          </w:p>
        </w:tc>
      </w:tr>
      <w:tr w:rsidR="00B51C19" w:rsidRPr="00E2242D" w14:paraId="4DC7F8E7" w14:textId="77777777" w:rsidTr="00021545">
        <w:tc>
          <w:tcPr>
            <w:tcW w:w="1127" w:type="dxa"/>
          </w:tcPr>
          <w:p w14:paraId="13E4F44A" w14:textId="77777777" w:rsidR="00B51C19" w:rsidRPr="00E2242D" w:rsidRDefault="00B51C19" w:rsidP="00021545">
            <w:pPr>
              <w:rPr>
                <w:rFonts w:ascii="Arial" w:hAnsi="Arial" w:cs="Arial"/>
                <w:b/>
                <w:sz w:val="20"/>
                <w:szCs w:val="20"/>
              </w:rPr>
            </w:pPr>
            <w:r w:rsidRPr="00E2242D">
              <w:rPr>
                <w:rFonts w:ascii="Arial" w:hAnsi="Arial" w:cs="Arial"/>
                <w:b/>
                <w:sz w:val="20"/>
                <w:szCs w:val="20"/>
              </w:rPr>
              <w:t>HR</w:t>
            </w:r>
          </w:p>
        </w:tc>
        <w:tc>
          <w:tcPr>
            <w:tcW w:w="1127" w:type="dxa"/>
            <w:vAlign w:val="center"/>
          </w:tcPr>
          <w:p w14:paraId="517C709B"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&lt;40</w:t>
            </w:r>
          </w:p>
        </w:tc>
        <w:tc>
          <w:tcPr>
            <w:tcW w:w="1127" w:type="dxa"/>
            <w:vAlign w:val="center"/>
          </w:tcPr>
          <w:p w14:paraId="2DF8D8B8"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41-50</w:t>
            </w:r>
          </w:p>
        </w:tc>
        <w:tc>
          <w:tcPr>
            <w:tcW w:w="1127" w:type="dxa"/>
            <w:vAlign w:val="center"/>
          </w:tcPr>
          <w:p w14:paraId="3E9EC3F1"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51-60</w:t>
            </w:r>
          </w:p>
        </w:tc>
        <w:tc>
          <w:tcPr>
            <w:tcW w:w="1127" w:type="dxa"/>
            <w:vAlign w:val="center"/>
          </w:tcPr>
          <w:p w14:paraId="6BCFB7C2"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61-90</w:t>
            </w:r>
          </w:p>
        </w:tc>
        <w:tc>
          <w:tcPr>
            <w:tcW w:w="1127" w:type="dxa"/>
            <w:vAlign w:val="center"/>
          </w:tcPr>
          <w:p w14:paraId="1AC98B0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91-110</w:t>
            </w:r>
          </w:p>
        </w:tc>
        <w:tc>
          <w:tcPr>
            <w:tcW w:w="1127" w:type="dxa"/>
            <w:vAlign w:val="center"/>
          </w:tcPr>
          <w:p w14:paraId="40E88269"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111-129</w:t>
            </w:r>
          </w:p>
        </w:tc>
        <w:tc>
          <w:tcPr>
            <w:tcW w:w="1127" w:type="dxa"/>
            <w:vAlign w:val="center"/>
          </w:tcPr>
          <w:p w14:paraId="32DFC652"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&gt;</w:t>
            </w:r>
            <w:r w:rsidRPr="00E2242D">
              <w:rPr>
                <w:rFonts w:ascii="Arial" w:hAnsi="Arial" w:cs="Arial"/>
                <w:sz w:val="20"/>
                <w:szCs w:val="20"/>
              </w:rPr>
              <w:t>130</w:t>
            </w:r>
          </w:p>
        </w:tc>
      </w:tr>
      <w:tr w:rsidR="00B51C19" w:rsidRPr="00E2242D" w14:paraId="143CCAC7" w14:textId="77777777" w:rsidTr="00021545">
        <w:tc>
          <w:tcPr>
            <w:tcW w:w="1127" w:type="dxa"/>
          </w:tcPr>
          <w:p w14:paraId="0BA489D7" w14:textId="77777777" w:rsidR="00B51C19" w:rsidRPr="00E2242D" w:rsidRDefault="00B51C19" w:rsidP="00021545">
            <w:pPr>
              <w:rPr>
                <w:rFonts w:ascii="Arial" w:hAnsi="Arial" w:cs="Arial"/>
                <w:b/>
                <w:sz w:val="20"/>
                <w:szCs w:val="20"/>
              </w:rPr>
            </w:pPr>
            <w:r w:rsidRPr="00E2242D">
              <w:rPr>
                <w:rFonts w:ascii="Arial" w:hAnsi="Arial" w:cs="Arial"/>
                <w:b/>
                <w:sz w:val="20"/>
                <w:szCs w:val="20"/>
              </w:rPr>
              <w:t>RR</w:t>
            </w:r>
          </w:p>
        </w:tc>
        <w:tc>
          <w:tcPr>
            <w:tcW w:w="1127" w:type="dxa"/>
            <w:vAlign w:val="center"/>
          </w:tcPr>
          <w:p w14:paraId="4248C15E"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&lt;</w:t>
            </w:r>
            <w:r w:rsidRPr="00E2242D">
              <w:rPr>
                <w:rFonts w:ascii="Arial" w:hAnsi="Arial" w:cs="Arial"/>
                <w:sz w:val="20"/>
                <w:szCs w:val="20"/>
              </w:rPr>
              <w:t>6</w:t>
            </w:r>
          </w:p>
        </w:tc>
        <w:tc>
          <w:tcPr>
            <w:tcW w:w="1127" w:type="dxa"/>
            <w:vAlign w:val="center"/>
          </w:tcPr>
          <w:p w14:paraId="7C2EF8D4"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7-8</w:t>
            </w:r>
          </w:p>
        </w:tc>
        <w:tc>
          <w:tcPr>
            <w:tcW w:w="1127" w:type="dxa"/>
            <w:vAlign w:val="center"/>
          </w:tcPr>
          <w:p w14:paraId="310CDA5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w:t>
            </w:r>
          </w:p>
        </w:tc>
        <w:tc>
          <w:tcPr>
            <w:tcW w:w="1127" w:type="dxa"/>
            <w:vAlign w:val="center"/>
          </w:tcPr>
          <w:p w14:paraId="55224401"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9-14</w:t>
            </w:r>
          </w:p>
        </w:tc>
        <w:tc>
          <w:tcPr>
            <w:tcW w:w="1127" w:type="dxa"/>
            <w:vAlign w:val="center"/>
          </w:tcPr>
          <w:p w14:paraId="1E97BDD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15-20</w:t>
            </w:r>
          </w:p>
        </w:tc>
        <w:tc>
          <w:tcPr>
            <w:tcW w:w="1127" w:type="dxa"/>
            <w:vAlign w:val="center"/>
          </w:tcPr>
          <w:p w14:paraId="3E5BCFE1"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21-29</w:t>
            </w:r>
          </w:p>
        </w:tc>
        <w:tc>
          <w:tcPr>
            <w:tcW w:w="1127" w:type="dxa"/>
            <w:vAlign w:val="center"/>
          </w:tcPr>
          <w:p w14:paraId="6342C998"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&gt;</w:t>
            </w:r>
            <w:r w:rsidRPr="00E2242D">
              <w:rPr>
                <w:rFonts w:ascii="Arial" w:hAnsi="Arial" w:cs="Arial"/>
                <w:sz w:val="20"/>
                <w:szCs w:val="20"/>
              </w:rPr>
              <w:t>30</w:t>
            </w:r>
          </w:p>
        </w:tc>
      </w:tr>
      <w:tr w:rsidR="00B51C19" w:rsidRPr="00E2242D" w14:paraId="4591720C" w14:textId="77777777" w:rsidTr="00021545">
        <w:tc>
          <w:tcPr>
            <w:tcW w:w="1127" w:type="dxa"/>
          </w:tcPr>
          <w:p w14:paraId="7B3BDFC0" w14:textId="77777777" w:rsidR="00B51C19" w:rsidRPr="00E2242D" w:rsidRDefault="00B51C19" w:rsidP="00021545">
            <w:pPr>
              <w:rPr>
                <w:rFonts w:ascii="Arial" w:hAnsi="Arial" w:cs="Arial"/>
                <w:b/>
                <w:sz w:val="20"/>
                <w:szCs w:val="20"/>
              </w:rPr>
            </w:pPr>
            <w:r w:rsidRPr="00E2242D">
              <w:rPr>
                <w:rFonts w:ascii="Arial" w:hAnsi="Arial" w:cs="Arial"/>
                <w:b/>
                <w:sz w:val="20"/>
                <w:szCs w:val="20"/>
              </w:rPr>
              <w:t>SBP</w:t>
            </w:r>
          </w:p>
        </w:tc>
        <w:tc>
          <w:tcPr>
            <w:tcW w:w="1127" w:type="dxa"/>
            <w:vAlign w:val="center"/>
          </w:tcPr>
          <w:p w14:paraId="4303B014"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&lt;</w:t>
            </w:r>
            <w:r w:rsidRPr="00E2242D">
              <w:rPr>
                <w:rFonts w:ascii="Arial" w:hAnsi="Arial" w:cs="Arial"/>
                <w:sz w:val="20"/>
                <w:szCs w:val="20"/>
              </w:rPr>
              <w:t>70</w:t>
            </w:r>
          </w:p>
        </w:tc>
        <w:tc>
          <w:tcPr>
            <w:tcW w:w="1127" w:type="dxa"/>
            <w:vAlign w:val="center"/>
          </w:tcPr>
          <w:p w14:paraId="7F86B552"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71-80</w:t>
            </w:r>
          </w:p>
        </w:tc>
        <w:tc>
          <w:tcPr>
            <w:tcW w:w="1127" w:type="dxa"/>
            <w:vAlign w:val="center"/>
          </w:tcPr>
          <w:p w14:paraId="6DE7049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81-100</w:t>
            </w:r>
          </w:p>
        </w:tc>
        <w:tc>
          <w:tcPr>
            <w:tcW w:w="1127" w:type="dxa"/>
            <w:vAlign w:val="center"/>
          </w:tcPr>
          <w:p w14:paraId="52A92F16"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101-180</w:t>
            </w:r>
          </w:p>
        </w:tc>
        <w:tc>
          <w:tcPr>
            <w:tcW w:w="1127" w:type="dxa"/>
            <w:vAlign w:val="center"/>
          </w:tcPr>
          <w:p w14:paraId="3F804B6A" w14:textId="77777777" w:rsidR="00B51C19" w:rsidRPr="00E2242D" w:rsidRDefault="00B51C19" w:rsidP="00021545">
            <w:pPr>
              <w:jc w:val="center"/>
              <w:rPr>
                <w:rFonts w:ascii="Arial" w:hAnsi="Arial" w:cs="Arial"/>
                <w:sz w:val="20"/>
                <w:szCs w:val="20"/>
              </w:rPr>
            </w:pPr>
          </w:p>
        </w:tc>
        <w:tc>
          <w:tcPr>
            <w:tcW w:w="1127" w:type="dxa"/>
            <w:vAlign w:val="center"/>
          </w:tcPr>
          <w:p w14:paraId="37D9F4FB"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&gt;</w:t>
            </w:r>
            <w:r w:rsidRPr="00E2242D">
              <w:rPr>
                <w:rFonts w:ascii="Arial" w:hAnsi="Arial" w:cs="Arial"/>
                <w:sz w:val="20"/>
                <w:szCs w:val="20"/>
              </w:rPr>
              <w:t>181</w:t>
            </w:r>
          </w:p>
        </w:tc>
        <w:tc>
          <w:tcPr>
            <w:tcW w:w="1127" w:type="dxa"/>
            <w:vAlign w:val="center"/>
          </w:tcPr>
          <w:p w14:paraId="3F9801FF" w14:textId="77777777" w:rsidR="00B51C19" w:rsidRPr="00E2242D" w:rsidRDefault="00B51C19" w:rsidP="00021545">
            <w:pPr>
              <w:jc w:val="center"/>
              <w:rPr>
                <w:rFonts w:ascii="Arial" w:hAnsi="Arial" w:cs="Arial"/>
                <w:sz w:val="20"/>
                <w:szCs w:val="20"/>
              </w:rPr>
            </w:pPr>
          </w:p>
        </w:tc>
      </w:tr>
      <w:tr w:rsidR="00B51C19" w:rsidRPr="00E2242D" w14:paraId="65F736D7" w14:textId="77777777" w:rsidTr="00021545">
        <w:tc>
          <w:tcPr>
            <w:tcW w:w="1127" w:type="dxa"/>
          </w:tcPr>
          <w:p w14:paraId="77D10B1A" w14:textId="77777777" w:rsidR="00B51C19" w:rsidRPr="00E2242D" w:rsidRDefault="00B51C19" w:rsidP="00021545">
            <w:pPr>
              <w:rPr>
                <w:rFonts w:ascii="Arial" w:hAnsi="Arial" w:cs="Arial"/>
                <w:b/>
                <w:sz w:val="20"/>
                <w:szCs w:val="20"/>
              </w:rPr>
            </w:pPr>
            <w:r w:rsidRPr="00E2242D">
              <w:rPr>
                <w:rFonts w:ascii="Arial" w:hAnsi="Arial" w:cs="Arial"/>
                <w:b/>
                <w:sz w:val="20"/>
                <w:szCs w:val="20"/>
              </w:rPr>
              <w:t>AVPU</w:t>
            </w:r>
          </w:p>
          <w:p w14:paraId="29A3CEFF" w14:textId="77777777" w:rsidR="00B51C19" w:rsidRPr="00E2242D" w:rsidRDefault="00B51C19" w:rsidP="00021545">
            <w:pPr>
              <w:rPr>
                <w:rFonts w:ascii="Arial" w:hAnsi="Arial" w:cs="Arial"/>
                <w:b/>
                <w:sz w:val="20"/>
                <w:szCs w:val="20"/>
              </w:rPr>
            </w:pPr>
            <w:r w:rsidRPr="00E2242D">
              <w:rPr>
                <w:rFonts w:ascii="Arial" w:hAnsi="Arial" w:cs="Arial"/>
                <w:b/>
                <w:sz w:val="20"/>
                <w:szCs w:val="20"/>
              </w:rPr>
              <w:t>GCS</w:t>
            </w:r>
          </w:p>
        </w:tc>
        <w:tc>
          <w:tcPr>
            <w:tcW w:w="1127" w:type="dxa"/>
            <w:vAlign w:val="center"/>
          </w:tcPr>
          <w:p w14:paraId="0C48CB81"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U</w:t>
            </w:r>
          </w:p>
        </w:tc>
        <w:tc>
          <w:tcPr>
            <w:tcW w:w="1127" w:type="dxa"/>
            <w:vAlign w:val="center"/>
          </w:tcPr>
          <w:p w14:paraId="5FB3D68C"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P</w:t>
            </w:r>
          </w:p>
        </w:tc>
        <w:tc>
          <w:tcPr>
            <w:tcW w:w="1127" w:type="dxa"/>
            <w:vAlign w:val="center"/>
          </w:tcPr>
          <w:p w14:paraId="113AAC07"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V</w:t>
            </w:r>
          </w:p>
        </w:tc>
        <w:tc>
          <w:tcPr>
            <w:tcW w:w="1127" w:type="dxa"/>
            <w:vAlign w:val="center"/>
          </w:tcPr>
          <w:p w14:paraId="12E642FD"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A</w:t>
            </w:r>
          </w:p>
          <w:p w14:paraId="26A4B176"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15</w:t>
            </w:r>
          </w:p>
        </w:tc>
        <w:tc>
          <w:tcPr>
            <w:tcW w:w="1127" w:type="dxa"/>
            <w:vAlign w:val="center"/>
          </w:tcPr>
          <w:p w14:paraId="1738D5A2" w14:textId="77777777" w:rsidR="00B51C19" w:rsidRPr="00E2242D" w:rsidRDefault="00B51C19" w:rsidP="00021545">
            <w:pPr>
              <w:jc w:val="center"/>
              <w:rPr>
                <w:rFonts w:ascii="Arial" w:hAnsi="Arial" w:cs="Arial"/>
                <w:sz w:val="20"/>
                <w:szCs w:val="20"/>
              </w:rPr>
            </w:pPr>
          </w:p>
          <w:p w14:paraId="7A68728D"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14</w:t>
            </w:r>
          </w:p>
        </w:tc>
        <w:tc>
          <w:tcPr>
            <w:tcW w:w="1127" w:type="dxa"/>
            <w:vAlign w:val="center"/>
          </w:tcPr>
          <w:p w14:paraId="13FF8F19" w14:textId="77777777" w:rsidR="00B51C19" w:rsidRPr="00E2242D" w:rsidRDefault="00B51C19" w:rsidP="00021545">
            <w:pPr>
              <w:jc w:val="center"/>
              <w:rPr>
                <w:rFonts w:ascii="Arial" w:hAnsi="Arial" w:cs="Arial"/>
                <w:sz w:val="20"/>
                <w:szCs w:val="20"/>
              </w:rPr>
            </w:pPr>
          </w:p>
          <w:p w14:paraId="4E217FE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9-13</w:t>
            </w:r>
          </w:p>
        </w:tc>
        <w:tc>
          <w:tcPr>
            <w:tcW w:w="1127" w:type="dxa"/>
            <w:vAlign w:val="center"/>
          </w:tcPr>
          <w:p w14:paraId="7635C318" w14:textId="77777777" w:rsidR="00B51C19" w:rsidRPr="00E2242D" w:rsidRDefault="00B51C19" w:rsidP="00021545">
            <w:pPr>
              <w:jc w:val="center"/>
              <w:rPr>
                <w:rFonts w:ascii="Arial" w:hAnsi="Arial" w:cs="Arial"/>
                <w:sz w:val="20"/>
                <w:szCs w:val="20"/>
              </w:rPr>
            </w:pPr>
          </w:p>
          <w:p w14:paraId="078A76AB"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&lt;</w:t>
            </w:r>
            <w:r w:rsidRPr="00E2242D">
              <w:rPr>
                <w:rFonts w:ascii="Arial" w:hAnsi="Arial" w:cs="Arial"/>
                <w:sz w:val="20"/>
                <w:szCs w:val="20"/>
              </w:rPr>
              <w:t>8</w:t>
            </w:r>
          </w:p>
        </w:tc>
      </w:tr>
      <w:tr w:rsidR="00B51C19" w:rsidRPr="00E2242D" w14:paraId="70B14DA9" w14:textId="77777777" w:rsidTr="00021545">
        <w:tc>
          <w:tcPr>
            <w:tcW w:w="1127" w:type="dxa"/>
          </w:tcPr>
          <w:p w14:paraId="57FFC333" w14:textId="77777777" w:rsidR="00B51C19" w:rsidRPr="00E2242D" w:rsidRDefault="00B51C19" w:rsidP="00021545">
            <w:pPr>
              <w:rPr>
                <w:rFonts w:ascii="Arial" w:hAnsi="Arial" w:cs="Arial"/>
                <w:b/>
                <w:sz w:val="20"/>
                <w:szCs w:val="20"/>
              </w:rPr>
            </w:pPr>
            <w:r w:rsidRPr="00E2242D">
              <w:rPr>
                <w:rFonts w:ascii="Arial" w:hAnsi="Arial" w:cs="Arial"/>
                <w:b/>
                <w:sz w:val="20"/>
                <w:szCs w:val="20"/>
              </w:rPr>
              <w:t>Temp</w:t>
            </w:r>
          </w:p>
        </w:tc>
        <w:tc>
          <w:tcPr>
            <w:tcW w:w="1127" w:type="dxa"/>
            <w:vAlign w:val="center"/>
          </w:tcPr>
          <w:p w14:paraId="09F0675A" w14:textId="77777777" w:rsidR="00B51C19" w:rsidRPr="00E2242D" w:rsidRDefault="00B51C19" w:rsidP="00021545">
            <w:pPr>
              <w:jc w:val="center"/>
              <w:rPr>
                <w:rFonts w:ascii="Arial" w:hAnsi="Arial" w:cs="Arial"/>
                <w:sz w:val="20"/>
                <w:szCs w:val="20"/>
              </w:rPr>
            </w:pPr>
          </w:p>
        </w:tc>
        <w:tc>
          <w:tcPr>
            <w:tcW w:w="1127" w:type="dxa"/>
            <w:vAlign w:val="center"/>
          </w:tcPr>
          <w:p w14:paraId="66B9A9C8"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&lt;35.0</w:t>
            </w:r>
          </w:p>
        </w:tc>
        <w:tc>
          <w:tcPr>
            <w:tcW w:w="1127" w:type="dxa"/>
            <w:vAlign w:val="center"/>
          </w:tcPr>
          <w:p w14:paraId="7BB33F6F"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w:t>
            </w:r>
          </w:p>
        </w:tc>
        <w:tc>
          <w:tcPr>
            <w:tcW w:w="1127" w:type="dxa"/>
            <w:vAlign w:val="center"/>
          </w:tcPr>
          <w:p w14:paraId="2695871A" w14:textId="77777777" w:rsidR="00B51C19" w:rsidRPr="00E2242D" w:rsidRDefault="00B51C19" w:rsidP="00021545">
            <w:pPr>
              <w:spacing w:after="40"/>
              <w:jc w:val="center"/>
              <w:rPr>
                <w:rFonts w:ascii="Arial" w:hAnsi="Arial" w:cs="Arial"/>
                <w:sz w:val="20"/>
                <w:szCs w:val="20"/>
              </w:rPr>
            </w:pPr>
            <w:r w:rsidRPr="00E2242D">
              <w:rPr>
                <w:rFonts w:ascii="Arial" w:hAnsi="Arial" w:cs="Arial"/>
                <w:sz w:val="20"/>
                <w:szCs w:val="20"/>
              </w:rPr>
              <w:t>35.0-38.4</w:t>
            </w:r>
          </w:p>
        </w:tc>
        <w:tc>
          <w:tcPr>
            <w:tcW w:w="1127" w:type="dxa"/>
            <w:vAlign w:val="center"/>
          </w:tcPr>
          <w:p w14:paraId="516CBB00"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w:t>
            </w:r>
          </w:p>
        </w:tc>
        <w:tc>
          <w:tcPr>
            <w:tcW w:w="1127" w:type="dxa"/>
            <w:vAlign w:val="center"/>
          </w:tcPr>
          <w:p w14:paraId="534EBE93" w14:textId="77777777" w:rsidR="00B51C19" w:rsidRPr="00E2242D" w:rsidRDefault="00B51C19" w:rsidP="00021545">
            <w:pPr>
              <w:jc w:val="center"/>
              <w:rPr>
                <w:rFonts w:ascii="Arial" w:hAnsi="Arial" w:cs="Arial"/>
                <w:sz w:val="20"/>
                <w:szCs w:val="20"/>
              </w:rPr>
            </w:pPr>
            <w:r w:rsidRPr="00E2242D">
              <w:rPr>
                <w:rFonts w:ascii="Arial" w:hAnsi="Arial" w:cs="Arial"/>
                <w:sz w:val="20"/>
                <w:szCs w:val="20"/>
              </w:rPr>
              <w:t>38.5-39.0</w:t>
            </w:r>
          </w:p>
        </w:tc>
        <w:tc>
          <w:tcPr>
            <w:tcW w:w="1127" w:type="dxa"/>
            <w:vAlign w:val="center"/>
          </w:tcPr>
          <w:p w14:paraId="0EF1E380" w14:textId="77777777" w:rsidR="00B51C19" w:rsidRPr="00E2242D" w:rsidRDefault="00B51C19" w:rsidP="00021545">
            <w:pPr>
              <w:jc w:val="center"/>
              <w:rPr>
                <w:rFonts w:ascii="Arial" w:hAnsi="Arial" w:cs="Arial"/>
                <w:sz w:val="20"/>
                <w:szCs w:val="20"/>
              </w:rPr>
            </w:pPr>
            <w:r w:rsidRPr="00E2242D">
              <w:rPr>
                <w:rFonts w:ascii="Arial" w:hAnsi="Arial" w:cs="Arial"/>
                <w:sz w:val="20"/>
                <w:szCs w:val="20"/>
                <w:u w:val="single"/>
              </w:rPr>
              <w:t>&gt;</w:t>
            </w:r>
            <w:r w:rsidRPr="00E2242D">
              <w:rPr>
                <w:rFonts w:ascii="Arial" w:hAnsi="Arial" w:cs="Arial"/>
                <w:sz w:val="20"/>
                <w:szCs w:val="20"/>
              </w:rPr>
              <w:t>39.0</w:t>
            </w:r>
          </w:p>
        </w:tc>
      </w:tr>
    </w:tbl>
    <w:p w14:paraId="5CFD3405" w14:textId="77777777" w:rsidR="00B51C19" w:rsidRPr="00E2242D" w:rsidRDefault="00B51C19" w:rsidP="00B51C19">
      <w:pPr>
        <w:rPr>
          <w:rFonts w:ascii="Arial" w:hAnsi="Arial" w:cs="Arial"/>
          <w:sz w:val="20"/>
          <w:szCs w:val="20"/>
        </w:rPr>
      </w:pPr>
      <w:r w:rsidRPr="00E2242D">
        <w:rPr>
          <w:rFonts w:ascii="Arial" w:hAnsi="Arial" w:cs="Arial"/>
          <w:sz w:val="20"/>
          <w:szCs w:val="20"/>
        </w:rPr>
        <w:t>HR- heart rate; RR- respiratory rate; SBP- systolic blood pressure; AVPU- alert, voice, pain, unresponsive; GCS- Glasgow Coma Scale; Temp- temperature (</w:t>
      </w:r>
      <w:proofErr w:type="spellStart"/>
      <w:r w:rsidRPr="00E2242D">
        <w:rPr>
          <w:rFonts w:ascii="Arial" w:hAnsi="Arial" w:cs="Arial"/>
          <w:sz w:val="20"/>
          <w:szCs w:val="20"/>
        </w:rPr>
        <w:t>celcius</w:t>
      </w:r>
      <w:proofErr w:type="spellEnd"/>
      <w:r w:rsidRPr="00E2242D">
        <w:rPr>
          <w:rFonts w:ascii="Arial" w:hAnsi="Arial" w:cs="Arial"/>
          <w:sz w:val="20"/>
          <w:szCs w:val="20"/>
        </w:rPr>
        <w:t xml:space="preserve">). </w:t>
      </w:r>
    </w:p>
    <w:p w14:paraId="3DAEEDCD" w14:textId="77777777" w:rsidR="00193363" w:rsidRDefault="00193363" w:rsidP="00B51C19">
      <w:pPr>
        <w:rPr>
          <w:rFonts w:ascii="Arial" w:hAnsi="Arial" w:cs="Arial"/>
        </w:rPr>
      </w:pPr>
    </w:p>
    <w:p w14:paraId="78C185BF" w14:textId="77777777" w:rsidR="00B51C19" w:rsidRDefault="00B51C19" w:rsidP="00B51C19">
      <w:pPr>
        <w:rPr>
          <w:rFonts w:ascii="Arial" w:hAnsi="Arial" w:cs="Arial"/>
        </w:rPr>
      </w:pPr>
      <w:r>
        <w:rPr>
          <w:rFonts w:ascii="Arial" w:hAnsi="Arial" w:cs="Arial"/>
        </w:rPr>
        <w:t>Patient outcomes</w:t>
      </w:r>
    </w:p>
    <w:p w14:paraId="3334D9BD" w14:textId="77777777" w:rsidR="00B51C19" w:rsidRDefault="00B51C19" w:rsidP="00B51C19">
      <w:pPr>
        <w:rPr>
          <w:rFonts w:ascii="Arial" w:hAnsi="Arial" w:cs="Arial"/>
        </w:rPr>
      </w:pPr>
      <w:r w:rsidRPr="00515CD7">
        <w:rPr>
          <w:rFonts w:ascii="Arial" w:hAnsi="Arial" w:cs="Arial"/>
        </w:rPr>
        <w:t>The electronic patient record system routinely captures</w:t>
      </w:r>
      <w:r>
        <w:rPr>
          <w:rFonts w:ascii="Arial" w:hAnsi="Arial" w:cs="Arial"/>
        </w:rPr>
        <w:t xml:space="preserve"> 30-day readmission and</w:t>
      </w:r>
      <w:r w:rsidRPr="00515CD7">
        <w:rPr>
          <w:rFonts w:ascii="Arial" w:hAnsi="Arial" w:cs="Arial"/>
        </w:rPr>
        <w:t xml:space="preserve"> inpatient mortality. Deaths during the first 30 days of admission were calculated using dates of admission and death. Date of both admission and discharge were used to calculate length of inpatient stay (LOS, days), and prolonged length of stay was defined as ≥10 days. Delayed discharge (yes, no) was calculated as a length of stay at least 1 day longer than the last recorded ‘clinically fit date’ (CFD). This is the date when patients are determined medically fit for discharge by their treating clinical team. Those who died during the admission were excluded from analyses for delayed discharge and 30-day readmission.</w:t>
      </w:r>
    </w:p>
    <w:p w14:paraId="0D91EA20" w14:textId="77777777" w:rsidR="00B51C19" w:rsidRPr="00515CD7" w:rsidRDefault="00B51C19" w:rsidP="00B51C19">
      <w:pPr>
        <w:rPr>
          <w:rFonts w:ascii="Arial" w:hAnsi="Arial" w:cs="Arial"/>
        </w:rPr>
      </w:pPr>
      <w:r>
        <w:rPr>
          <w:rFonts w:ascii="Arial" w:hAnsi="Arial" w:cs="Arial"/>
        </w:rPr>
        <w:t>Data Analysis</w:t>
      </w:r>
    </w:p>
    <w:p w14:paraId="31CF8586" w14:textId="77777777" w:rsidR="00B51C19" w:rsidRPr="003C4CA9" w:rsidRDefault="00B51C19" w:rsidP="00B51C19">
      <w:pPr>
        <w:rPr>
          <w:rFonts w:cstheme="minorHAnsi"/>
        </w:rPr>
      </w:pPr>
      <w:r w:rsidRPr="001A0BDA">
        <w:rPr>
          <w:rFonts w:ascii="Arial" w:hAnsi="Arial" w:cs="Arial"/>
        </w:rPr>
        <w:t xml:space="preserve">All analyses presented in the </w:t>
      </w:r>
      <w:r>
        <w:rPr>
          <w:rFonts w:ascii="Arial" w:hAnsi="Arial" w:cs="Arial"/>
        </w:rPr>
        <w:t xml:space="preserve">published </w:t>
      </w:r>
      <w:r w:rsidRPr="001A0BDA">
        <w:rPr>
          <w:rFonts w:ascii="Arial" w:hAnsi="Arial" w:cs="Arial"/>
        </w:rPr>
        <w:t>short report were performed in Stata (version 12).</w:t>
      </w:r>
      <w:r>
        <w:rPr>
          <w:rFonts w:ascii="Arial" w:hAnsi="Arial" w:cs="Arial"/>
        </w:rPr>
        <w:t xml:space="preserve"> Descriptive statistics were compared between groups using </w:t>
      </w:r>
      <w:r w:rsidRPr="00634084">
        <w:rPr>
          <w:rFonts w:ascii="Arial" w:hAnsi="Arial" w:cs="Arial"/>
        </w:rPr>
        <w:t>chi</w:t>
      </w:r>
      <w:r w:rsidRPr="00634084">
        <w:rPr>
          <w:rFonts w:ascii="Cambria Math" w:hAnsi="Cambria Math" w:cs="Cambria Math"/>
        </w:rPr>
        <w:t>‐</w:t>
      </w:r>
      <w:r w:rsidRPr="00634084">
        <w:rPr>
          <w:rFonts w:ascii="Arial" w:hAnsi="Arial" w:cs="Arial"/>
        </w:rPr>
        <w:t>square, ANOVA or the Mann</w:t>
      </w:r>
      <w:r w:rsidRPr="00634084">
        <w:rPr>
          <w:rFonts w:ascii="Cambria Math" w:hAnsi="Cambria Math" w:cs="Cambria Math"/>
        </w:rPr>
        <w:t>‐</w:t>
      </w:r>
      <w:r w:rsidRPr="00634084">
        <w:rPr>
          <w:rFonts w:ascii="Arial" w:hAnsi="Arial" w:cs="Arial"/>
        </w:rPr>
        <w:t xml:space="preserve">Whitney U test </w:t>
      </w:r>
      <w:r>
        <w:rPr>
          <w:rFonts w:ascii="Arial" w:hAnsi="Arial" w:cs="Arial"/>
        </w:rPr>
        <w:t xml:space="preserve">as appropriate. </w:t>
      </w:r>
    </w:p>
    <w:p w14:paraId="01422C7E" w14:textId="77777777" w:rsidR="00B51C19" w:rsidRDefault="00B51C19" w:rsidP="00B51C19">
      <w:pPr>
        <w:rPr>
          <w:rFonts w:ascii="Arial" w:hAnsi="Arial" w:cs="Arial"/>
          <w:b/>
        </w:rPr>
      </w:pPr>
    </w:p>
    <w:p w14:paraId="62B183D6" w14:textId="77777777" w:rsidR="00B51C19" w:rsidRDefault="00B51C19" w:rsidP="00B51C19">
      <w:pPr>
        <w:rPr>
          <w:rFonts w:ascii="Arial" w:hAnsi="Arial" w:cs="Arial"/>
          <w:b/>
        </w:rPr>
      </w:pPr>
    </w:p>
    <w:p w14:paraId="4F1B8D12" w14:textId="77777777" w:rsidR="00B51C19" w:rsidRDefault="00B51C19" w:rsidP="00B51C19">
      <w:pPr>
        <w:rPr>
          <w:rFonts w:ascii="Arial" w:hAnsi="Arial" w:cs="Arial"/>
          <w:b/>
        </w:rPr>
      </w:pPr>
    </w:p>
    <w:p w14:paraId="6EFFD928" w14:textId="77777777" w:rsidR="00B51C19" w:rsidRDefault="00B51C19" w:rsidP="00B51C19">
      <w:pPr>
        <w:rPr>
          <w:rFonts w:ascii="Arial" w:hAnsi="Arial" w:cs="Arial"/>
          <w:b/>
        </w:rPr>
      </w:pPr>
    </w:p>
    <w:p w14:paraId="683AC9C4" w14:textId="77777777" w:rsidR="00B51C19" w:rsidRDefault="00B51C19" w:rsidP="00B51C19">
      <w:pPr>
        <w:rPr>
          <w:rFonts w:ascii="Arial" w:hAnsi="Arial" w:cs="Arial"/>
          <w:b/>
        </w:rPr>
      </w:pPr>
    </w:p>
    <w:p w14:paraId="325B5652" w14:textId="77777777" w:rsidR="00B51C19" w:rsidRDefault="00B51C19" w:rsidP="00B51C19">
      <w:pPr>
        <w:rPr>
          <w:rFonts w:ascii="Arial" w:hAnsi="Arial" w:cs="Arial"/>
          <w:b/>
        </w:rPr>
      </w:pPr>
    </w:p>
    <w:p w14:paraId="750B53C3" w14:textId="77777777" w:rsidR="00B51C19" w:rsidRDefault="00B51C19" w:rsidP="00B51C19">
      <w:pPr>
        <w:rPr>
          <w:rFonts w:ascii="Arial" w:hAnsi="Arial" w:cs="Arial"/>
          <w:b/>
        </w:rPr>
      </w:pPr>
    </w:p>
    <w:p w14:paraId="4E996716" w14:textId="77777777" w:rsidR="00B51C19" w:rsidRDefault="00B51C19" w:rsidP="00B51C19">
      <w:pPr>
        <w:rPr>
          <w:rFonts w:ascii="Arial" w:hAnsi="Arial" w:cs="Arial"/>
          <w:b/>
        </w:rPr>
      </w:pPr>
    </w:p>
    <w:p w14:paraId="039190C5" w14:textId="77777777" w:rsidR="00B51C19" w:rsidRDefault="00B51C19" w:rsidP="00B51C19">
      <w:pPr>
        <w:rPr>
          <w:rFonts w:ascii="Arial" w:hAnsi="Arial" w:cs="Arial"/>
          <w:b/>
        </w:rPr>
      </w:pPr>
    </w:p>
    <w:p w14:paraId="026B8992" w14:textId="77777777" w:rsidR="00B51C19" w:rsidRDefault="00B51C19" w:rsidP="00B51C19">
      <w:pPr>
        <w:rPr>
          <w:rFonts w:ascii="Arial" w:hAnsi="Arial" w:cs="Arial"/>
          <w:b/>
        </w:rPr>
      </w:pPr>
    </w:p>
    <w:p w14:paraId="7CC80677" w14:textId="60732DBF" w:rsidR="00B51C19" w:rsidRPr="002E47F3" w:rsidRDefault="00193363" w:rsidP="00B51C19">
      <w:pPr>
        <w:rPr>
          <w:rFonts w:ascii="Arial" w:hAnsi="Arial" w:cs="Arial"/>
          <w:b/>
          <w:lang w:val="fr-FR"/>
        </w:rPr>
      </w:pPr>
      <w:proofErr w:type="spellStart"/>
      <w:r>
        <w:rPr>
          <w:rFonts w:ascii="Arial" w:hAnsi="Arial" w:cs="Arial"/>
          <w:b/>
          <w:lang w:val="fr-FR"/>
        </w:rPr>
        <w:lastRenderedPageBreak/>
        <w:t>Ap</w:t>
      </w:r>
      <w:r w:rsidR="00B51C19" w:rsidRPr="002E47F3">
        <w:rPr>
          <w:rFonts w:ascii="Arial" w:hAnsi="Arial" w:cs="Arial"/>
          <w:b/>
          <w:lang w:val="fr-FR"/>
        </w:rPr>
        <w:t>pendix</w:t>
      </w:r>
      <w:proofErr w:type="spellEnd"/>
      <w:r w:rsidR="00B51C19" w:rsidRPr="002E47F3">
        <w:rPr>
          <w:rFonts w:ascii="Arial" w:hAnsi="Arial" w:cs="Arial"/>
          <w:b/>
          <w:lang w:val="fr-FR"/>
        </w:rPr>
        <w:t xml:space="preserve"> 2</w:t>
      </w:r>
    </w:p>
    <w:p w14:paraId="20AD08E8" w14:textId="4E7E8352" w:rsidR="00B51C19" w:rsidRPr="002E47F3" w:rsidRDefault="003374A2" w:rsidP="00B51C19">
      <w:pPr>
        <w:rPr>
          <w:rFonts w:ascii="Arial" w:hAnsi="Arial" w:cs="Arial"/>
          <w:b/>
          <w:lang w:val="fr-FR"/>
        </w:rPr>
      </w:pPr>
      <w:r>
        <w:rPr>
          <w:rFonts w:ascii="Arial" w:hAnsi="Arial" w:cs="Arial"/>
          <w:b/>
        </w:rPr>
        <w:t>Supplementary</w:t>
      </w:r>
      <w:r>
        <w:rPr>
          <w:rFonts w:ascii="Arial" w:hAnsi="Arial" w:cs="Arial"/>
          <w:b/>
          <w:lang w:val="fr-FR"/>
        </w:rPr>
        <w:t xml:space="preserve"> </w:t>
      </w:r>
      <w:r w:rsidR="00193363">
        <w:rPr>
          <w:rFonts w:ascii="Arial" w:hAnsi="Arial" w:cs="Arial"/>
          <w:b/>
          <w:lang w:val="fr-FR"/>
        </w:rPr>
        <w:t>Figure 1 (</w:t>
      </w:r>
      <w:r w:rsidR="00B51C19" w:rsidRPr="002E47F3">
        <w:rPr>
          <w:rFonts w:ascii="Arial" w:hAnsi="Arial" w:cs="Arial"/>
          <w:b/>
          <w:lang w:val="fr-FR"/>
        </w:rPr>
        <w:t xml:space="preserve">A): Kaplan-Meier </w:t>
      </w:r>
      <w:proofErr w:type="spellStart"/>
      <w:r w:rsidR="00B51C19" w:rsidRPr="002E47F3">
        <w:rPr>
          <w:rFonts w:ascii="Arial" w:hAnsi="Arial" w:cs="Arial"/>
          <w:b/>
          <w:lang w:val="fr-FR"/>
        </w:rPr>
        <w:t>Survival</w:t>
      </w:r>
      <w:proofErr w:type="spellEnd"/>
      <w:r w:rsidR="00B51C19" w:rsidRPr="002E47F3">
        <w:rPr>
          <w:rFonts w:ascii="Arial" w:hAnsi="Arial" w:cs="Arial"/>
          <w:b/>
          <w:lang w:val="fr-FR"/>
        </w:rPr>
        <w:t xml:space="preserve"> </w:t>
      </w:r>
      <w:proofErr w:type="spellStart"/>
      <w:r w:rsidR="00B51C19" w:rsidRPr="002E47F3">
        <w:rPr>
          <w:rFonts w:ascii="Arial" w:hAnsi="Arial" w:cs="Arial"/>
          <w:b/>
          <w:lang w:val="fr-FR"/>
        </w:rPr>
        <w:t>Curves</w:t>
      </w:r>
      <w:proofErr w:type="spellEnd"/>
      <w:r w:rsidR="00B51C19" w:rsidRPr="002E47F3">
        <w:rPr>
          <w:rFonts w:ascii="Arial" w:hAnsi="Arial" w:cs="Arial"/>
          <w:b/>
          <w:lang w:val="fr-FR"/>
        </w:rPr>
        <w:t xml:space="preserve">. </w:t>
      </w:r>
    </w:p>
    <w:p w14:paraId="293B618F" w14:textId="77777777" w:rsidR="00B51C19" w:rsidRPr="00E2242D" w:rsidRDefault="00B51C19" w:rsidP="00B51C19">
      <w:pPr>
        <w:rPr>
          <w:rFonts w:ascii="Arial" w:hAnsi="Arial" w:cs="Arial"/>
        </w:rPr>
      </w:pPr>
      <w:r w:rsidRPr="00E2242D">
        <w:rPr>
          <w:rFonts w:ascii="Arial" w:hAnsi="Arial" w:cs="Arial"/>
        </w:rPr>
        <w:t>30 day inpatient mortality by care home status (own home vs residential bed vs nursing bed) (N=14,766; 904 deaths)</w:t>
      </w:r>
    </w:p>
    <w:p w14:paraId="661A640B" w14:textId="77777777" w:rsidR="00B51C19" w:rsidRDefault="00B51C19" w:rsidP="00B51C19">
      <w:pPr>
        <w:rPr>
          <w:rFonts w:ascii="Arial" w:hAnsi="Arial" w:cs="Arial"/>
        </w:rPr>
      </w:pPr>
      <w:r w:rsidRPr="008D36DB">
        <w:rPr>
          <w:rFonts w:ascii="Arial" w:hAnsi="Arial" w:cs="Arial"/>
          <w:noProof/>
          <w:lang w:val="en-GB" w:eastAsia="en-GB"/>
        </w:rPr>
        <w:drawing>
          <wp:inline distT="0" distB="0" distL="0" distR="0" wp14:anchorId="5012F9BD" wp14:editId="23F587CB">
            <wp:extent cx="4328791" cy="316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8791" cy="3168000"/>
                    </a:xfrm>
                    <a:prstGeom prst="rect">
                      <a:avLst/>
                    </a:prstGeom>
                    <a:noFill/>
                    <a:ln>
                      <a:noFill/>
                    </a:ln>
                  </pic:spPr>
                </pic:pic>
              </a:graphicData>
            </a:graphic>
          </wp:inline>
        </w:drawing>
      </w:r>
    </w:p>
    <w:p w14:paraId="1D7CE393" w14:textId="0572CB98" w:rsidR="00B51C19" w:rsidRPr="00E2242D" w:rsidRDefault="003374A2" w:rsidP="00B51C19">
      <w:pPr>
        <w:rPr>
          <w:rFonts w:ascii="Arial" w:hAnsi="Arial" w:cs="Arial"/>
          <w:b/>
        </w:rPr>
      </w:pPr>
      <w:r>
        <w:rPr>
          <w:rFonts w:ascii="Arial" w:hAnsi="Arial" w:cs="Arial"/>
          <w:b/>
        </w:rPr>
        <w:t xml:space="preserve">Supplementary </w:t>
      </w:r>
      <w:r w:rsidR="00193363">
        <w:rPr>
          <w:rFonts w:ascii="Arial" w:hAnsi="Arial" w:cs="Arial"/>
          <w:b/>
        </w:rPr>
        <w:t>Figure 1 (</w:t>
      </w:r>
      <w:r w:rsidR="00B51C19" w:rsidRPr="00E2242D">
        <w:rPr>
          <w:rFonts w:ascii="Arial" w:hAnsi="Arial" w:cs="Arial"/>
          <w:b/>
        </w:rPr>
        <w:t>B): Age and Sex Adjusted Cox Regression Survival Curves.</w:t>
      </w:r>
    </w:p>
    <w:p w14:paraId="1677EFED" w14:textId="77777777" w:rsidR="00193363" w:rsidRDefault="00B51C19" w:rsidP="00B51C19">
      <w:pPr>
        <w:rPr>
          <w:rFonts w:ascii="Arial" w:hAnsi="Arial" w:cs="Arial"/>
        </w:rPr>
      </w:pPr>
      <w:r w:rsidRPr="00E2242D">
        <w:rPr>
          <w:rFonts w:ascii="Arial" w:hAnsi="Arial" w:cs="Arial"/>
        </w:rPr>
        <w:t>30 day inpatient mortality by care home status (own home vs residenti</w:t>
      </w:r>
      <w:r>
        <w:rPr>
          <w:rFonts w:ascii="Arial" w:hAnsi="Arial" w:cs="Arial"/>
        </w:rPr>
        <w:t>al bed vs nursing bed) (N=10,146, 536</w:t>
      </w:r>
      <w:r w:rsidRPr="00E2242D">
        <w:rPr>
          <w:rFonts w:ascii="Arial" w:hAnsi="Arial" w:cs="Arial"/>
        </w:rPr>
        <w:t xml:space="preserve"> deaths)</w:t>
      </w:r>
      <w:r w:rsidR="00193363">
        <w:rPr>
          <w:rFonts w:ascii="Arial" w:hAnsi="Arial" w:cs="Arial"/>
        </w:rPr>
        <w:t xml:space="preserve"> </w:t>
      </w:r>
    </w:p>
    <w:p w14:paraId="522905E6" w14:textId="1A8C0460" w:rsidR="006071F7" w:rsidRDefault="00B51C19">
      <w:r w:rsidRPr="00CC2092">
        <w:rPr>
          <w:rFonts w:ascii="Arial" w:hAnsi="Arial" w:cs="Arial"/>
          <w:noProof/>
          <w:lang w:val="en-GB" w:eastAsia="en-GB"/>
        </w:rPr>
        <w:drawing>
          <wp:inline distT="0" distB="0" distL="0" distR="0" wp14:anchorId="3BD92E5F" wp14:editId="7ED3A782">
            <wp:extent cx="4328791" cy="316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8791" cy="3168000"/>
                    </a:xfrm>
                    <a:prstGeom prst="rect">
                      <a:avLst/>
                    </a:prstGeom>
                    <a:noFill/>
                    <a:ln>
                      <a:noFill/>
                    </a:ln>
                  </pic:spPr>
                </pic:pic>
              </a:graphicData>
            </a:graphic>
          </wp:inline>
        </w:drawing>
      </w:r>
    </w:p>
    <w:sectPr w:rsidR="0060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19"/>
    <w:rsid w:val="00193363"/>
    <w:rsid w:val="00211677"/>
    <w:rsid w:val="002D5FAF"/>
    <w:rsid w:val="003374A2"/>
    <w:rsid w:val="0064743C"/>
    <w:rsid w:val="00A16BCF"/>
    <w:rsid w:val="00A6530A"/>
    <w:rsid w:val="00B51C19"/>
    <w:rsid w:val="00C56EAB"/>
    <w:rsid w:val="00E647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B2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19"/>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1C1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Victoria Keevil</cp:lastModifiedBy>
  <cp:revision>3</cp:revision>
  <dcterms:created xsi:type="dcterms:W3CDTF">2020-11-04T10:24:00Z</dcterms:created>
  <dcterms:modified xsi:type="dcterms:W3CDTF">2020-11-04T10:24:00Z</dcterms:modified>
</cp:coreProperties>
</file>